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B" w:rsidRDefault="00820E4B" w:rsidP="00820E4B">
      <w:pPr>
        <w:rPr>
          <w:rFonts w:ascii="方正小标宋简体" w:eastAsia="方正小标宋简体" w:hAnsi="华文中宋" w:cs="宋体" w:hint="eastAsia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sz w:val="32"/>
          <w:szCs w:val="32"/>
        </w:rPr>
        <w:t>附件：</w:t>
      </w:r>
    </w:p>
    <w:p w:rsidR="00820E4B" w:rsidRDefault="00820E4B" w:rsidP="00820E4B">
      <w:pPr>
        <w:jc w:val="center"/>
        <w:rPr>
          <w:rFonts w:ascii="方正小标宋简体" w:eastAsia="方正小标宋简体" w:hAnsi="华文中宋" w:cs="宋体" w:hint="eastAsia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sz w:val="32"/>
          <w:szCs w:val="32"/>
        </w:rPr>
        <w:t>武昌首义学院拟推荐参加湖北省第十三届挑战杯作品汇总表</w:t>
      </w:r>
    </w:p>
    <w:tbl>
      <w:tblPr>
        <w:tblpPr w:leftFromText="180" w:rightFromText="180" w:vertAnchor="text" w:horzAnchor="page" w:tblpX="690" w:tblpY="879"/>
        <w:tblOverlap w:val="never"/>
        <w:tblW w:w="10872" w:type="dxa"/>
        <w:tblLayout w:type="fixed"/>
        <w:tblLook w:val="0000"/>
      </w:tblPr>
      <w:tblGrid>
        <w:gridCol w:w="745"/>
        <w:gridCol w:w="2807"/>
        <w:gridCol w:w="1357"/>
        <w:gridCol w:w="2025"/>
        <w:gridCol w:w="1545"/>
        <w:gridCol w:w="1021"/>
        <w:gridCol w:w="1372"/>
      </w:tblGrid>
      <w:tr w:rsidR="00820E4B" w:rsidTr="006119BD">
        <w:trPr>
          <w:trHeight w:hRule="exact" w:val="69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序号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作品名称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作品第一作者姓名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年级专业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作品</w:t>
            </w:r>
          </w:p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类别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指导</w:t>
            </w:r>
          </w:p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老师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推荐</w:t>
            </w:r>
          </w:p>
          <w:p w:rsidR="00820E4B" w:rsidRDefault="00820E4B" w:rsidP="006119BD">
            <w:pPr>
              <w:jc w:val="center"/>
              <w:rPr>
                <w:rFonts w:ascii="黑体" w:eastAsia="黑体" w:hAnsi="黑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学院</w:t>
            </w:r>
          </w:p>
        </w:tc>
      </w:tr>
      <w:tr w:rsidR="00820E4B" w:rsidTr="006119BD">
        <w:trPr>
          <w:trHeight w:hRule="exact" w:val="14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基于BIM的基建项目质量安全验收小帮手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宋正宇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2018级软件工程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彭炎、汪晓航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信科</w:t>
            </w:r>
          </w:p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15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国家工程建设项目数据远程监测系统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余希峰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2018级电子信息工程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陈青、冯欢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信科</w:t>
            </w:r>
          </w:p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155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基于深度学习的社交距离和人群密度预警系统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赵安玮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级软件工程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/>
              </w:rPr>
              <w:t>李凌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、赵瑜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信科</w:t>
            </w:r>
          </w:p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16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掌上温室——打造后疫情时代绿色互联农业一键产销新模式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邓星现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方奕乐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20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基于互联网的医患零接触智能药盒应用开发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鲁佳琦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自动化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20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基于视觉全景和计数功能的封闭式电梯智能控制消杀系统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方龙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机械制造设计及自动化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李怡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19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废旧镍钴锰酸锂电池正极材料闭环回收理论研究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罗涵璐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2018级环境工程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自然科学类学术论文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郑莹、莫文婷、张晶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城建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21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多学科交叉背景下的“两新一重”绿色建筑材料开发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陈一飞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2019级土木工程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科技发明制作B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徐翔宇、张晶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城建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学院</w:t>
            </w:r>
          </w:p>
        </w:tc>
      </w:tr>
      <w:tr w:rsidR="00820E4B" w:rsidTr="006119BD">
        <w:trPr>
          <w:trHeight w:hRule="exact" w:val="22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疫情防控常态化背景下大学生在线学习行为研究：基于1698名学生及322名教师的问卷调查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杨钧烁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2020级市场营销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哲学社会科学类社会调查报告和学术论文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李林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刘媛媛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经济管理学院</w:t>
            </w:r>
          </w:p>
        </w:tc>
      </w:tr>
      <w:tr w:rsidR="00820E4B" w:rsidTr="006119BD">
        <w:trPr>
          <w:trHeight w:hRule="exact" w:val="203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扫得了屋子，为何还少“Z世代”的心——“Z世代”群体的清洁机器人的市场需求调查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李吉龙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2018级市场营销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本科在读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李林</w:t>
            </w:r>
          </w:p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王慧娟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经济管理学院</w:t>
            </w:r>
          </w:p>
        </w:tc>
      </w:tr>
      <w:tr w:rsidR="00820E4B" w:rsidTr="006119BD">
        <w:trPr>
          <w:trHeight w:hRule="exact" w:val="205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匠心造物—“小楚定制”文创设计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彭章璇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2018级视觉传达设计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肖巍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tabs>
                <w:tab w:val="left" w:pos="551"/>
              </w:tabs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</w:tr>
      <w:tr w:rsidR="00820E4B" w:rsidTr="006119BD">
        <w:trPr>
          <w:trHeight w:hRule="exact" w:val="23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文创设计助力非遗文化——骆越文化调研报告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骆海慧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2018级视觉传达设计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本科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肖巍，张博远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4B" w:rsidRDefault="00820E4B" w:rsidP="006119BD">
            <w:pPr>
              <w:spacing w:line="38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艺术设计学院</w:t>
            </w:r>
          </w:p>
        </w:tc>
      </w:tr>
    </w:tbl>
    <w:p w:rsidR="00820E4B" w:rsidRDefault="00820E4B" w:rsidP="00820E4B">
      <w:pPr>
        <w:jc w:val="both"/>
        <w:rPr>
          <w:rFonts w:ascii="仿宋_GB2312" w:eastAsia="仿宋_GB2312" w:hAnsi="宋体" w:cs="宋体"/>
          <w:b/>
          <w:sz w:val="32"/>
          <w:szCs w:val="32"/>
        </w:rPr>
        <w:sectPr w:rsidR="00820E4B">
          <w:headerReference w:type="first" r:id="rId4"/>
          <w:pgSz w:w="11906" w:h="16838"/>
          <w:pgMar w:top="1440" w:right="1418" w:bottom="1440" w:left="1418" w:header="851" w:footer="992" w:gutter="0"/>
          <w:pgNumType w:start="0"/>
          <w:cols w:space="720"/>
          <w:titlePg/>
          <w:docGrid w:type="lines" w:linePitch="312"/>
        </w:sectPr>
      </w:pPr>
    </w:p>
    <w:p w:rsidR="004358AB" w:rsidRDefault="004358AB" w:rsidP="00820E4B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方正粗黑宋简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default"/>
    <w:sig w:usb0="00000000" w:usb1="080E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20E4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20E4B"/>
    <w:rsid w:val="008B7726"/>
    <w:rsid w:val="00D31D50"/>
    <w:rsid w:val="00EF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0E4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820E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2EC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2021-04-15T01:54:00Z</dcterms:modified>
</cp:coreProperties>
</file>